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2c7b80" w:val="clear"/>
        <w:rPr>
          <w:rFonts w:ascii="DM Sans" w:cs="DM Sans" w:eastAsia="DM Sans" w:hAnsi="DM Sans"/>
          <w:color w:val="ffffff"/>
          <w:sz w:val="28"/>
          <w:szCs w:val="28"/>
          <w:shd w:fill="2c7b80" w:val="clear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ffffff"/>
          <w:sz w:val="28"/>
          <w:szCs w:val="28"/>
          <w:rtl w:val="0"/>
        </w:rPr>
        <w:t xml:space="preserve"> STRATEGIC WORK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Strategic Committee Highlights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b w:val="1"/>
          <w:bCs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Nov. 2024 – Nov.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2c7b80" w:space="0" w:sz="6" w:val="single"/>
          <w:left w:color="2c7b80" w:space="0" w:sz="6" w:val="single"/>
          <w:bottom w:color="2c7b80" w:space="0" w:sz="6" w:val="single"/>
          <w:right w:color="2c7b80" w:space="0" w:sz="6" w:val="single"/>
          <w:insideH w:color="2c7b80" w:space="0" w:sz="6" w:val="single"/>
          <w:insideV w:color="2c7b80" w:space="0" w:sz="6" w:val="single"/>
        </w:tblBorders>
        <w:tblLayout w:type="fixed"/>
        <w:tblLook w:val="0400"/>
      </w:tblPr>
      <w:tblGrid>
        <w:gridCol w:w="4402"/>
        <w:gridCol w:w="4942"/>
        <w:tblGridChange w:id="0">
          <w:tblGrid>
            <w:gridCol w:w="4402"/>
            <w:gridCol w:w="494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ADFM Strategic Committees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Advocacy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Education Transformation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Healthcare Delivery Transformation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Leader Development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Representation, Engagement, Access, Community and Health (formerly DEI Committee)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Research Development 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DM Sans" w:cs="DM Sans" w:eastAsia="DM Sans" w:hAnsi="DM Sans"/>
          <w:b w:val="1"/>
          <w:bCs w:val="1"/>
          <w:sz w:val="32"/>
          <w:szCs w:val="3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32"/>
          <w:szCs w:val="32"/>
          <w:rtl w:val="0"/>
        </w:rPr>
        <w:t xml:space="preserve">HIGHLIGHTS</w:t>
      </w:r>
    </w:p>
    <w:tbl>
      <w:tblPr>
        <w:tblStyle w:val="Table2"/>
        <w:tblW w:w="9344.0" w:type="dxa"/>
        <w:jc w:val="left"/>
        <w:tblBorders>
          <w:top w:color="2c7b80" w:space="0" w:sz="6" w:val="single"/>
          <w:left w:color="2c7b80" w:space="0" w:sz="6" w:val="single"/>
          <w:bottom w:color="2c7b80" w:space="0" w:sz="6" w:val="single"/>
          <w:right w:color="2c7b80" w:space="0" w:sz="6" w:val="single"/>
          <w:insideH w:color="2c7b80" w:space="0" w:sz="6" w:val="single"/>
          <w:insideV w:color="2c7b80" w:space="0" w:sz="6" w:val="single"/>
        </w:tblBorders>
        <w:tblLayout w:type="fixed"/>
        <w:tblLook w:val="0400"/>
      </w:tblPr>
      <w:tblGrid>
        <w:gridCol w:w="9344"/>
        <w:tblGridChange w:id="0">
          <w:tblGrid>
            <w:gridCol w:w="9344"/>
          </w:tblGrid>
        </w:tblGridChange>
      </w:tblGrid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0F">
            <w:pPr>
              <w:rPr>
                <w:rFonts w:ascii="DM Sans" w:cs="DM Sans" w:eastAsia="DM Sans" w:hAnsi="DM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VIRTUAL OFFERINGS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9 </w:t>
            </w:r>
            <w:hyperlink r:id="rId7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ADFM Hot Topics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(Register for future hot topics on our website)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Strengthening Family Medicine OB: Brainstorming a Playbook: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74 registrants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Balancing Act: Advocacy in Institutions with Conflicting Priorities: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 22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Demystifying the Search Process: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23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Exploring Financially Sustainable Models in Academic Family Medicine: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37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Advocacy session 1: Sustaining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Leadership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 ​these Trying Times: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21 attendees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FM AIRE - Residency Redesign in Real Life:</w:t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20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Advocacy session 2: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What we CAN do in these unprecedented times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: 30 attendees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Accelerated Medical Pathway Programs: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32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October Hot Topic - O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pen Forum: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11 attendees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REACH Leaders and Chairs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Meetings (formerly DEI Leaders and Chairs meeting):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11-30 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Research Directors and Chairs Meetings: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rtl w:val="0"/>
              </w:rPr>
              <w:t xml:space="preserve">40+ 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Clinical Operations Leaders and Chairs Meetings: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000"/>
                <w:rtl w:val="0"/>
              </w:rPr>
              <w:t xml:space="preserve">20+ attendees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Launched the </w:t>
            </w:r>
            <w:hyperlink r:id="rId8">
              <w:r w:rsidDel="00000000" w:rsidR="00000000" w:rsidRPr="00000000">
                <w:rPr>
                  <w:rFonts w:ascii="DM Sans" w:cs="DM Sans" w:eastAsia="DM Sans" w:hAnsi="DM Sans"/>
                  <w:b w:val="1"/>
                  <w:bCs w:val="1"/>
                  <w:color w:val="1155cc"/>
                  <w:u w:val="single"/>
                  <w:rtl w:val="0"/>
                </w:rPr>
                <w:t xml:space="preserve">Research Curriculum for Department Chairs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 four part series that includes a recorded webinar, presentation, and white papers for each of the four topics: Ecosystem, Infrastructure, Regulation, and Funding.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1F">
            <w:pPr>
              <w:rPr>
                <w:rFonts w:ascii="DM Sans" w:cs="DM Sans" w:eastAsia="DM Sans" w:hAnsi="DM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CONFERENCE SESSIONS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ADFM Conference sessions all with 25+ attendees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Leader Development Pre-Conference: Bridges and Pathways: Navigating Relationships and Career Transitions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Chairs Skills Workshop: Blueprints for Success: Strategic Planning and Culture Building for New Chairs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Leadership &amp; Management Dilemmas Dinner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Main stage session: How to respond when departmental programming is challenged by the changing legal landscape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STFM MSE Pre-Conference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So You Want to Be a Family Medicine Leader? Here Are the Tools That You Need!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2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STFM Session on the ADFM Leadership Competencies for Senior Leaders with 20+ attendees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Leading Change in Dynamic Times: Leadership competencies on managing transitions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Recruiting from within: Challenges and opportunities with faculty development </w:t>
            </w:r>
          </w:p>
        </w:tc>
      </w:tr>
      <w:tr>
        <w:trPr>
          <w:cantSplit w:val="0"/>
          <w:trHeight w:val="7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AAFP FUTURES Conference session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4"/>
              </w:numPr>
              <w:spacing w:line="216" w:lineRule="auto"/>
              <w:ind w:left="720" w:hanging="360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Charting a Course into Residency and Beyond with Research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2025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Submissions: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2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accepted proposal for STFM MSE Conference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submission AAFP FUTURES Conference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submission for STFM Annual Conference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31">
            <w:pPr>
              <w:rPr>
                <w:rFonts w:ascii="DM Sans" w:cs="DM Sans" w:eastAsia="DM Sans" w:hAnsi="DM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PUBLICATIONS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Annals Commentaries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STFM Journal publication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, “</w:t>
            </w:r>
            <w:hyperlink r:id="rId10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Institutional Strategies to Boost Medical School Graduates Entering Family Medicine</w:t>
              </w:r>
            </w:hyperlink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Quarterly Newsletters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35">
            <w:pPr>
              <w:rPr>
                <w:rFonts w:ascii="DM Sans" w:cs="DM Sans" w:eastAsia="DM Sans" w:hAnsi="DM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LEADS FELLOWSHIP 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in-person workshops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17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outgoing fellows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16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incoming fellows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2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returning</w:t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faculty advisors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alumni reception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alumni survey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evaluation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3D">
            <w:pPr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BRC 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Fellowship: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outgoing fellows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incoming fellows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outgoing faculty advisors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incoming faculty advisors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returning faculty advisors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Other projects: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completed consultations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initial exploratory consultations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9"/>
              </w:numPr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presentations at 3 conferences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c7b80" w:val="clear"/>
          </w:tcPr>
          <w:p w:rsidR="00000000" w:rsidDel="00000000" w:rsidP="00000000" w:rsidRDefault="00000000" w:rsidRPr="00000000" w14:paraId="00000049">
            <w:pPr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PARTNERSHIPS ENGAGEMENTS AND INITIATIVES WITH OTHER ORGANIZATIONS THIS 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Council of Academic Family Medicine (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CAFM</w:t>
            </w: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hyperlink r:id="rId14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AI and education guiding values</w:t>
              </w:r>
            </w:hyperlink>
            <w:r w:rsidDel="00000000" w:rsidR="00000000" w:rsidRPr="00000000">
              <w:rPr>
                <w:rFonts w:ascii="DM Sans" w:cs="DM Sans" w:eastAsia="DM Sans" w:hAnsi="DM Sans"/>
                <w:color w:val="1155cc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AAFP FM Privileging Advisory Committee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ollective letter to AAMC about the workforce shortage report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Overlap of ADFM members in FMLC leadership roles - Jehni Robinson, MD, ADFM Board Chair, is Chair of </w:t>
            </w:r>
            <w:hyperlink r:id="rId15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the Academic Family Medicine Advocacy Committee (AFMAC)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Initiatives with STFM: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Partnership on key initiative titled, “</w:t>
            </w:r>
            <w:hyperlink r:id="rId16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Family Medicine Artificial Intelligence Centers of Excellence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Summer podcast series on the Lifecycle of Leadership : </w:t>
            </w:r>
            <w:hyperlink r:id="rId17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part 1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, </w:t>
            </w:r>
            <w:hyperlink r:id="rId18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part 2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, and </w:t>
            </w:r>
            <w:hyperlink r:id="rId19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part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National Strategic Plan for Research in Family Medicine: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Have representatives on STFM’s new Scholarship Taskforce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Sharing</w:t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Research Curriculum for Department Chairs 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materials with NAPCRG, and STFM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Created webpage on </w:t>
            </w:r>
            <w:hyperlink r:id="rId21">
              <w:r w:rsidDel="00000000" w:rsidR="00000000" w:rsidRPr="00000000">
                <w:rPr>
                  <w:rFonts w:ascii="DM Sans" w:cs="DM Sans" w:eastAsia="DM Sans" w:hAnsi="DM Sans"/>
                  <w:color w:val="1155cc"/>
                  <w:u w:val="single"/>
                  <w:rtl w:val="0"/>
                </w:rPr>
                <w:t xml:space="preserve">NACPRG website</w:t>
              </w:r>
            </w:hyperlink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regarding how to partner with CTSAs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Hosted session on “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Charting a Course into Residency and Beyond with Research” at the 2025 AAFP FUTURES Conference with plans to facilitate a session at STFM MSE Conference in 2026 and at the 2026 AAFP FUTURES Conference (pending submission acceptance).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3"/>
              </w:numPr>
              <w:shd w:fill="ffffff" w:val="clear"/>
              <w:spacing w:after="200" w:before="0" w:beforeAutospacing="0" w:line="276" w:lineRule="auto"/>
              <w:ind w:left="720" w:hanging="360"/>
              <w:rPr>
                <w:color w:val="222222"/>
              </w:rPr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 FM Research Training Database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- over 160 tracks included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  <w:color w:val="00000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000"/>
                <w:rtl w:val="0"/>
              </w:rPr>
              <w:t xml:space="preserve">Family Medicine Leadership Consortium (FMLC)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Overlap of ADFM members in FMLC leadership roles -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Joseph Gravel as Past President of STFM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AAMC Council of Faculty and Academic Societies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DM Sans" w:cs="DM Sans" w:eastAsia="DM Sans" w:hAnsi="DM Sans"/>
                <w:u w:val="none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CFAS reps also strategized on workforce report response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AAFP Commission on Education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footerReference r:id="rId25" w:type="default"/>
      <w:footerReference r:id="rId26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pto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DM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Fonts w:ascii="Lato" w:cs="Lato" w:eastAsia="Lato" w:hAnsi="Lato"/>
        <w:b w:val="1"/>
        <w:bCs w:val="1"/>
        <w:sz w:val="24"/>
        <w:szCs w:val="24"/>
      </w:rPr>
      <w:drawing>
        <wp:inline distB="114300" distT="114300" distL="114300" distR="114300">
          <wp:extent cx="2071688" cy="1131849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1688" cy="11318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D43F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5518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62F8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62F82"/>
    <w:rPr>
      <w:b w:val="1"/>
      <w:bCs w:val="1"/>
      <w:sz w:val="20"/>
      <w:szCs w:val="20"/>
    </w:r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053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5369C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5A787D"/>
    <w:pPr>
      <w:spacing w:line="240" w:lineRule="auto"/>
    </w:pPr>
  </w:style>
  <w:style w:type="table" w:styleId="a5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dfm.org/chairlearning#6870" TargetMode="External"/><Relationship Id="rId22" Type="http://schemas.openxmlformats.org/officeDocument/2006/relationships/hyperlink" Target="https://www.napcrg.org/programs/national-family-medicine-strategic-plan-for-research/family-medicine-database/" TargetMode="External"/><Relationship Id="rId21" Type="http://schemas.openxmlformats.org/officeDocument/2006/relationships/hyperlink" Target="https://napcrg.org/Infrastructure/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fm.org/resources/commentaries/" TargetMode="External"/><Relationship Id="rId26" Type="http://schemas.openxmlformats.org/officeDocument/2006/relationships/footer" Target="footer2.xm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dfm.org/resources/webinars/" TargetMode="External"/><Relationship Id="rId8" Type="http://schemas.openxmlformats.org/officeDocument/2006/relationships/hyperlink" Target="https://adfm.org/chairlearning#6870" TargetMode="External"/><Relationship Id="rId11" Type="http://schemas.openxmlformats.org/officeDocument/2006/relationships/hyperlink" Target="https://adfm.org/resources/newsletters/" TargetMode="External"/><Relationship Id="rId10" Type="http://schemas.openxmlformats.org/officeDocument/2006/relationships/hyperlink" Target="https://journals.stfm.org/familymedicine/2025/june/weidner-0471/" TargetMode="External"/><Relationship Id="rId13" Type="http://schemas.openxmlformats.org/officeDocument/2006/relationships/hyperlink" Target="https://adfm.org/programs/brc-fellows-2024-2025/" TargetMode="External"/><Relationship Id="rId12" Type="http://schemas.openxmlformats.org/officeDocument/2006/relationships/hyperlink" Target="https://adfm.org/programs/leads-fellows-2024-2025/" TargetMode="External"/><Relationship Id="rId15" Type="http://schemas.openxmlformats.org/officeDocument/2006/relationships/hyperlink" Target="https://www.stfm.org/about/governance/committees/academicfamilymedicineadvocacycommittee/" TargetMode="External"/><Relationship Id="rId14" Type="http://schemas.openxmlformats.org/officeDocument/2006/relationships/hyperlink" Target="https://img1.wsimg.com/blobby/go/5dcd42e1-926b-41ad-9fb5-22e7d65c24f5/downloads/369e694f-ea22-4236-be33-71f83f8751f3/CAFM%20Guiding%20Values%20AI_Education.docx.pdf?ver=1759425958188" TargetMode="External"/><Relationship Id="rId17" Type="http://schemas.openxmlformats.org/officeDocument/2006/relationships/hyperlink" Target="https://stfm.org/publicationsresearch/publications/podcast-ep-pages/stfmpodcast_06_2025/" TargetMode="External"/><Relationship Id="rId16" Type="http://schemas.openxmlformats.org/officeDocument/2006/relationships/hyperlink" Target="https://stfm.org/AICentersOfExcellence#51308" TargetMode="External"/><Relationship Id="rId19" Type="http://schemas.openxmlformats.org/officeDocument/2006/relationships/hyperlink" Target="https://www.stfm.org/publicationsresearch/publications/podcast-ep-pages/stfmpodcast_08_2025/" TargetMode="External"/><Relationship Id="rId18" Type="http://schemas.openxmlformats.org/officeDocument/2006/relationships/hyperlink" Target="https://www.stfm.org/publicationsresearch/publications/podcast-ep-pages/stfmpodcast_07_202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0" Type="http://schemas.openxmlformats.org/officeDocument/2006/relationships/font" Target="fonts/DMSans-boldItalic.ttf"/><Relationship Id="rId9" Type="http://schemas.openxmlformats.org/officeDocument/2006/relationships/font" Target="fonts/DM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DMSans-regular.ttf"/><Relationship Id="rId8" Type="http://schemas.openxmlformats.org/officeDocument/2006/relationships/font" Target="fonts/DM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JIfDHFMcJVgIoaQpbbk6ayK/g==">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2024-09-17T23:22:00Z</dcterms:created>
  <dc:creator>Samantha Elwood</dc:creator>
</cp:coreProperties>
</file>